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08"/>
        <w:gridCol w:w="5439"/>
      </w:tblGrid>
      <w:tr w:rsidR="00C678F5" w14:paraId="2A53DA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A901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Министерство науки</w:t>
            </w:r>
          </w:p>
          <w:p w14:paraId="6E1287D1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и высшего образования РФ</w:t>
            </w:r>
          </w:p>
          <w:p w14:paraId="57F151D0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0"/>
                <w:szCs w:val="10"/>
              </w:rPr>
            </w:pPr>
          </w:p>
          <w:p w14:paraId="5FDC8030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Министерство образования</w:t>
            </w:r>
          </w:p>
          <w:p w14:paraId="292E934C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>и науки УР</w:t>
            </w:r>
          </w:p>
          <w:p w14:paraId="7AD586A0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0"/>
                <w:szCs w:val="10"/>
              </w:rPr>
            </w:pPr>
          </w:p>
          <w:p w14:paraId="6C9A94EB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Комитет по делам архивов при Правительстве УР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FF1B0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Удмуртский государственный университет</w:t>
            </w:r>
          </w:p>
          <w:p w14:paraId="72F79938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0"/>
                <w:szCs w:val="10"/>
              </w:rPr>
            </w:pPr>
          </w:p>
          <w:p w14:paraId="1FBDE099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Удмуртский институт истории, </w:t>
            </w:r>
          </w:p>
          <w:p w14:paraId="525E1823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языка и литературы УдмФИЦ УрО РАН</w:t>
            </w:r>
          </w:p>
          <w:p w14:paraId="7ED0C649" w14:textId="77777777" w:rsidR="00C678F5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</w:tr>
    </w:tbl>
    <w:p w14:paraId="6E04776B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0"/>
          <w:szCs w:val="10"/>
        </w:rPr>
      </w:pPr>
    </w:p>
    <w:p w14:paraId="3C663277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0"/>
          <w:szCs w:val="10"/>
        </w:rPr>
      </w:pPr>
    </w:p>
    <w:p w14:paraId="37AADCF7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Институт истории и социологии УдГУ</w:t>
      </w:r>
    </w:p>
    <w:p w14:paraId="30EBD27D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0"/>
          <w:szCs w:val="10"/>
        </w:rPr>
      </w:pPr>
    </w:p>
    <w:p w14:paraId="61F6C852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Кафедра истории России</w:t>
      </w:r>
    </w:p>
    <w:p w14:paraId="536FD37F" w14:textId="77777777" w:rsidR="00C678F5" w:rsidRP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0"/>
        </w:rPr>
      </w:pPr>
    </w:p>
    <w:p w14:paraId="04118396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Кафедра философии и гуманитарных дисциплин</w:t>
      </w:r>
    </w:p>
    <w:p w14:paraId="2EF1B9CE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0"/>
          <w:szCs w:val="10"/>
        </w:rPr>
      </w:pPr>
    </w:p>
    <w:p w14:paraId="0A71E30A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Ассоциация преподавателей гуманитарных и общественных наук УР</w:t>
      </w:r>
    </w:p>
    <w:p w14:paraId="4E1FA9E2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FC5263C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9588B30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i/>
          <w:iCs/>
        </w:rPr>
        <w:t>Глубокоуважаемые коллеги!</w:t>
      </w:r>
    </w:p>
    <w:p w14:paraId="14E07D8B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33CED74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bookmarkStart w:id="0" w:name="_GoBack"/>
      <w:r>
        <w:rPr>
          <w:rFonts w:ascii="Georgia" w:hAnsi="Georgia" w:cs="Georgia"/>
        </w:rPr>
        <w:t xml:space="preserve">Приглашаем принять участие в </w:t>
      </w:r>
      <w:r>
        <w:rPr>
          <w:rFonts w:ascii="Georgia" w:hAnsi="Georgia" w:cs="Georgia"/>
          <w:b/>
          <w:bCs/>
        </w:rPr>
        <w:t>I-й Всероссийской научной конференции «АКТУАЛЬНЫЕ ПРОБЛЕМЫ РЕГИОНАЛЬНОЙ ИСТОРИИ: ВЗИМООТНОШЕНИЕ ЦЕНТРА И РЕГИОНОВ В ИСТОРИЧЕСКОЙ ДИНАМИКЕ», посвящённой 100-летию со дня рождения Александра Александровича Александрова (1919–2010) и 85-летию со дня рождения Анатолия Ивановича Суханова (1934–1989),</w:t>
      </w:r>
      <w:r>
        <w:rPr>
          <w:rFonts w:ascii="Georgia" w:hAnsi="Georgia" w:cs="Georgia"/>
        </w:rPr>
        <w:t xml:space="preserve"> которая состоится 7–8 ноября 2019 г. в г. Ижевске. В конференции планируется участие преподавателей вузов, сотрудников академических и архивных учреждений, аспирантов, магистрантов, студентов.</w:t>
      </w:r>
    </w:p>
    <w:bookmarkEnd w:id="0"/>
    <w:p w14:paraId="536E3835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sz w:val="24"/>
          <w:szCs w:val="24"/>
        </w:rPr>
      </w:pPr>
    </w:p>
    <w:p w14:paraId="466F2485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На рассмотрение участников форума предлагаются следующие проблемы:</w:t>
      </w:r>
    </w:p>
    <w:p w14:paraId="30D8D5F0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источниковедение и историография региональной истории;</w:t>
      </w:r>
    </w:p>
    <w:p w14:paraId="099426F1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политическое развитие регионов и распределение властных полномочий;</w:t>
      </w:r>
    </w:p>
    <w:p w14:paraId="13A69B5C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интеграция недавно присоединённых регионов;</w:t>
      </w:r>
    </w:p>
    <w:p w14:paraId="79A2C78C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взаимосвязь экономического развития Центра и регионов;</w:t>
      </w:r>
    </w:p>
    <w:p w14:paraId="74CE4FB9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транспортная логистика и связь;</w:t>
      </w:r>
    </w:p>
    <w:p w14:paraId="29D574CE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миграционные процессы;</w:t>
      </w:r>
    </w:p>
    <w:p w14:paraId="7CEEBB67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социальная политика государства и социальное развитие регионов;</w:t>
      </w:r>
    </w:p>
    <w:p w14:paraId="6D9863F0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сохранение культурной самобытности регионов.</w:t>
      </w:r>
    </w:p>
    <w:p w14:paraId="0A3EE268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98058C5" w14:textId="77777777" w:rsidR="00C678F5" w:rsidRDefault="00C678F5">
      <w:pPr>
        <w:widowControl w:val="0"/>
        <w:tabs>
          <w:tab w:val="left" w:pos="708"/>
          <w:tab w:val="left" w:pos="1511"/>
        </w:tabs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Заявки на участие</w:t>
      </w:r>
      <w:r>
        <w:rPr>
          <w:rFonts w:ascii="Georgia" w:hAnsi="Georgia" w:cs="Georgia"/>
        </w:rPr>
        <w:t xml:space="preserve"> в конференции и материалы для публикации (объём до </w:t>
      </w:r>
      <w:r>
        <w:rPr>
          <w:rFonts w:ascii="Georgia" w:hAnsi="Georgia" w:cs="Georgia"/>
          <w:b/>
          <w:bCs/>
        </w:rPr>
        <w:t>20 тыс.</w:t>
      </w:r>
      <w:r>
        <w:rPr>
          <w:rFonts w:ascii="Georgia" w:hAnsi="Georgia" w:cs="Georgia"/>
        </w:rPr>
        <w:t xml:space="preserve"> знаков) в электронном варианте просим присылать до </w:t>
      </w:r>
      <w:r>
        <w:rPr>
          <w:rFonts w:ascii="Georgia" w:hAnsi="Georgia" w:cs="Georgia"/>
          <w:b/>
          <w:bCs/>
        </w:rPr>
        <w:t>15 октября 2019 г.</w:t>
      </w:r>
      <w:r>
        <w:rPr>
          <w:rFonts w:ascii="Georgia" w:hAnsi="Georgia" w:cs="Georgia"/>
        </w:rPr>
        <w:t xml:space="preserve"> В заявке просим указать Ф.И.О (полностью), вуз (учреждение, организация), почтовый адрес, телефон, e-mail и факс для контакта. Аспирантов, магистрантов, студентов (специалитет и бакалавриат) просим указать научного руководителя и курс.</w:t>
      </w:r>
    </w:p>
    <w:p w14:paraId="3BDA3EC1" w14:textId="77777777" w:rsidR="00C678F5" w:rsidRDefault="00C678F5">
      <w:pPr>
        <w:widowControl w:val="0"/>
        <w:tabs>
          <w:tab w:val="left" w:pos="708"/>
          <w:tab w:val="left" w:pos="1511"/>
        </w:tabs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Georgia" w:hAnsi="Georgia" w:cs="Georgia"/>
        </w:rPr>
      </w:pPr>
    </w:p>
    <w:p w14:paraId="3EA64D00" w14:textId="77777777" w:rsidR="00C678F5" w:rsidRPr="00C678F5" w:rsidRDefault="00C678F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n-US"/>
        </w:rPr>
      </w:pPr>
      <w:r>
        <w:rPr>
          <w:rFonts w:ascii="Georgia" w:hAnsi="Georgia" w:cs="Georgia"/>
          <w:b/>
          <w:bCs/>
        </w:rPr>
        <w:t>Адрес оргкомитета:</w:t>
      </w:r>
      <w:r>
        <w:rPr>
          <w:rFonts w:ascii="Georgia" w:hAnsi="Georgia" w:cs="Georgia"/>
        </w:rPr>
        <w:t xml:space="preserve"> 426034, г. Ижевск, ул. Университетская 1, Удмуртский государственный университет, Институт истории и социологии, кафедра истории России (корп. </w:t>
      </w:r>
      <w:r w:rsidRPr="00C678F5">
        <w:rPr>
          <w:rFonts w:ascii="Georgia" w:hAnsi="Georgia" w:cs="Georgia"/>
          <w:lang w:val="en-US"/>
        </w:rPr>
        <w:t xml:space="preserve">2, </w:t>
      </w:r>
      <w:r>
        <w:rPr>
          <w:rFonts w:ascii="Georgia" w:hAnsi="Georgia" w:cs="Georgia"/>
        </w:rPr>
        <w:t>ауд</w:t>
      </w:r>
      <w:r w:rsidRPr="00C678F5">
        <w:rPr>
          <w:rFonts w:ascii="Georgia" w:hAnsi="Georgia" w:cs="Georgia"/>
          <w:lang w:val="en-US"/>
        </w:rPr>
        <w:t xml:space="preserve">. 405, </w:t>
      </w:r>
      <w:r>
        <w:rPr>
          <w:rFonts w:ascii="Georgia" w:hAnsi="Georgia" w:cs="Georgia"/>
        </w:rPr>
        <w:t>тел</w:t>
      </w:r>
      <w:r w:rsidRPr="00C678F5">
        <w:rPr>
          <w:rFonts w:ascii="Georgia" w:hAnsi="Georgia" w:cs="Georgia"/>
          <w:lang w:val="en-US"/>
        </w:rPr>
        <w:t xml:space="preserve">.: (3412) 916-185, </w:t>
      </w:r>
      <w:r w:rsidRPr="00C678F5">
        <w:rPr>
          <w:rFonts w:ascii="Georgia" w:hAnsi="Georgia" w:cs="Georgia"/>
          <w:b/>
          <w:bCs/>
          <w:lang w:val="en-US"/>
        </w:rPr>
        <w:t xml:space="preserve">e-mail: </w:t>
      </w:r>
      <w:hyperlink r:id="rId4" w:history="1">
        <w:r w:rsidRPr="00C678F5">
          <w:rPr>
            <w:rFonts w:ascii="Georgia" w:hAnsi="Georgia" w:cs="Georgia"/>
            <w:b/>
            <w:bCs/>
            <w:color w:val="0000FF"/>
            <w:u w:val="single"/>
            <w:lang w:val="en-US"/>
          </w:rPr>
          <w:t>puzanov@udm.ru</w:t>
        </w:r>
      </w:hyperlink>
      <w:r w:rsidRPr="00C678F5">
        <w:rPr>
          <w:rFonts w:ascii="Georgia" w:hAnsi="Georgia" w:cs="Georgia"/>
          <w:lang w:val="en-US"/>
        </w:rPr>
        <w:t>,</w:t>
      </w:r>
      <w:r w:rsidRPr="00C678F5">
        <w:rPr>
          <w:rFonts w:ascii="Georgia" w:hAnsi="Georgia" w:cs="Georgia"/>
          <w:b/>
          <w:bCs/>
          <w:lang w:val="en-US"/>
        </w:rPr>
        <w:t xml:space="preserve"> </w:t>
      </w:r>
      <w:hyperlink r:id="rId5" w:history="1">
        <w:r w:rsidRPr="00C678F5">
          <w:rPr>
            <w:rFonts w:ascii="Georgia" w:hAnsi="Georgia" w:cs="Georgia"/>
            <w:b/>
            <w:bCs/>
            <w:color w:val="0000FF"/>
            <w:u w:val="single"/>
            <w:lang w:val="en-US"/>
          </w:rPr>
          <w:t>repnikov@udm.ru</w:t>
        </w:r>
      </w:hyperlink>
      <w:r w:rsidRPr="00C678F5">
        <w:rPr>
          <w:rFonts w:ascii="Georgia" w:hAnsi="Georgia" w:cs="Georgia"/>
          <w:lang w:val="en-US"/>
        </w:rPr>
        <w:t>).</w:t>
      </w:r>
    </w:p>
    <w:p w14:paraId="0CE4DF81" w14:textId="77777777" w:rsidR="00C678F5" w:rsidRPr="00C678F5" w:rsidRDefault="00C678F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n-US"/>
        </w:rPr>
      </w:pPr>
    </w:p>
    <w:p w14:paraId="435F1DEC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Оформление материалов для публикации:</w:t>
      </w:r>
    </w:p>
    <w:p w14:paraId="330BBA35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формат: Microsoft Word (версии 6.0, 7.0, 97) или RTF;</w:t>
      </w:r>
    </w:p>
    <w:p w14:paraId="63F34411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формат страницы: A4;</w:t>
      </w:r>
    </w:p>
    <w:p w14:paraId="06871E97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печатное поле на формате A4: 17</w:t>
      </w:r>
      <w:r w:rsidRPr="00C678F5">
        <w:rPr>
          <w:rFonts w:ascii="Georgia" w:hAnsi="Georgia" w:cs="Georgia"/>
        </w:rPr>
        <w:t xml:space="preserve">×25 </w:t>
      </w:r>
      <w:r>
        <w:rPr>
          <w:rFonts w:ascii="Georgia" w:hAnsi="Georgia" w:cs="Georgia"/>
        </w:rPr>
        <w:t>см;</w:t>
      </w:r>
    </w:p>
    <w:p w14:paraId="08AD353D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размер поля: снизу, слева, справа — 2 см, сверху — 2,5 см;</w:t>
      </w:r>
    </w:p>
    <w:p w14:paraId="77E02958" w14:textId="77777777" w:rsidR="00C678F5" w:rsidRP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lang w:val="en-US"/>
        </w:rPr>
      </w:pPr>
      <w:r w:rsidRPr="00C678F5">
        <w:rPr>
          <w:rFonts w:ascii="Georgia" w:hAnsi="Georgia" w:cs="Georgia"/>
          <w:lang w:val="en-US"/>
        </w:rPr>
        <w:t xml:space="preserve">— </w:t>
      </w:r>
      <w:r>
        <w:rPr>
          <w:rFonts w:ascii="Georgia" w:hAnsi="Georgia" w:cs="Georgia"/>
        </w:rPr>
        <w:t>гарнитура</w:t>
      </w:r>
      <w:r w:rsidRPr="00C678F5">
        <w:rPr>
          <w:rFonts w:ascii="Georgia" w:hAnsi="Georgia" w:cs="Georgia"/>
          <w:lang w:val="en-US"/>
        </w:rPr>
        <w:t>: Times New Roman;</w:t>
      </w:r>
    </w:p>
    <w:p w14:paraId="6D9EFA0B" w14:textId="77777777" w:rsidR="00C678F5" w:rsidRP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lang w:val="en-US"/>
        </w:rPr>
      </w:pPr>
      <w:r w:rsidRPr="00C678F5">
        <w:rPr>
          <w:rFonts w:ascii="Georgia" w:hAnsi="Georgia" w:cs="Georgia"/>
          <w:lang w:val="en-US"/>
        </w:rPr>
        <w:t xml:space="preserve">— </w:t>
      </w:r>
      <w:r>
        <w:rPr>
          <w:rFonts w:ascii="Georgia" w:hAnsi="Georgia" w:cs="Georgia"/>
        </w:rPr>
        <w:t>кегль</w:t>
      </w:r>
      <w:r w:rsidRPr="00C678F5">
        <w:rPr>
          <w:rFonts w:ascii="Georgia" w:hAnsi="Georgia" w:cs="Georgia"/>
          <w:lang w:val="en-US"/>
        </w:rPr>
        <w:t>: 11;</w:t>
      </w:r>
    </w:p>
    <w:p w14:paraId="06EB798D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межстрочный интервал: одинарный;</w:t>
      </w:r>
    </w:p>
    <w:p w14:paraId="12A2CBF3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— отступ абзаца: 1 см;</w:t>
      </w:r>
    </w:p>
    <w:p w14:paraId="0A76E5D3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выравнивание: по ширине;</w:t>
      </w:r>
    </w:p>
    <w:p w14:paraId="0E5B7A24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нумерация страниц: отсутствует.</w:t>
      </w:r>
    </w:p>
    <w:p w14:paraId="66696A2D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14:paraId="751B3BE7" w14:textId="77777777" w:rsidR="00C678F5" w:rsidRDefault="00C678F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  <w:u w:val="single"/>
        </w:rPr>
        <w:t>Помимо текста статья должна включать следующие элементы</w:t>
      </w:r>
      <w:r>
        <w:rPr>
          <w:rFonts w:ascii="Georgia" w:hAnsi="Georgia" w:cs="Georgia"/>
        </w:rPr>
        <w:t>:</w:t>
      </w:r>
    </w:p>
    <w:p w14:paraId="30D5FAEA" w14:textId="77777777" w:rsidR="00C678F5" w:rsidRDefault="00C678F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Ф.И.О. и место работы автора (кегль 11, жирный курсив);</w:t>
      </w:r>
    </w:p>
    <w:p w14:paraId="1C07AF5D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название статьи (кегль 11, жирный, прописные);</w:t>
      </w:r>
    </w:p>
    <w:p w14:paraId="6DDF39C8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аннотация (кегль 10, от 110 до 200 слов);</w:t>
      </w:r>
    </w:p>
    <w:p w14:paraId="27B893EF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ключевые слова (кегль 10, словосочетание — светлый курсив с двоеточием, сами слова — прямой светлый, количество ключевых слов — 5–10, количество слов внутри ключевой фразы — не более 3);</w:t>
      </w:r>
    </w:p>
    <w:p w14:paraId="6F100F6A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основной текст (кегль 11);</w:t>
      </w:r>
    </w:p>
    <w:p w14:paraId="562C3C4F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список источников и литературы (кегль 10, заголовок — прописные, выравнивание по центру, сам список — выравнивание по ширине).</w:t>
      </w:r>
    </w:p>
    <w:p w14:paraId="7A1284A1" w14:textId="77777777" w:rsidR="00C678F5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Список источников и литературы оформляется в виде единого списка с нумерацией арабскими цифрами (начиная с цифры 1) в алфавитном порядке. Если при подготовке публикации авторами использовались латинографические работы, то список таковых указывается в алфавитном порядке после работ на русском языке.</w:t>
      </w:r>
    </w:p>
    <w:p w14:paraId="3376FDD7" w14:textId="77777777" w:rsidR="00C678F5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Названия архивохранилищ и архивных фондов указываются в списке источников и литературы следующим образом:</w:t>
      </w:r>
    </w:p>
    <w:p w14:paraId="76F4E390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1. Государственный архив Российской Федерации (ГА РФ).</w:t>
      </w:r>
    </w:p>
    <w:p w14:paraId="2BCB0FF0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2. Российский государственный архив социально-политической истории (РГАСПИ).</w:t>
      </w:r>
    </w:p>
    <w:p w14:paraId="282F3125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3. Центральный государственный архив Удмуртской Республики (ЦГА УР) и др.</w:t>
      </w:r>
    </w:p>
    <w:p w14:paraId="357D32CE" w14:textId="77777777" w:rsidR="00C678F5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Ссылка на архивные материалы оформляется в тексте публикации в квадратных скобках следующим способом: [1. Ф. 1. Оп. 1. Д. 1. Л. 1].</w:t>
      </w:r>
    </w:p>
    <w:p w14:paraId="1F12E4ED" w14:textId="77777777" w:rsidR="00C678F5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Ссылка в тексте на документальные публикации, материалы периодической печати, мемуарную литературу, научные публикации и публикации в сети Интернет также оформляется в виде соответствующей порядковой цифры списка, заключённой в квадратные скобки, например: [5], [5; 15; 25], [5, с. 15], [5, с. 15, 17], [5, с. 15–17], [5, с. 15; 25, с. 15–17]. [55, s. 15; 61, р. 12].</w:t>
      </w:r>
    </w:p>
    <w:p w14:paraId="32E514A4" w14:textId="77777777" w:rsidR="00C678F5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Описание мемуарной литературы, научных и документальных публикаций в списке источников и литературы следует давать в следующем виде:</w:t>
      </w:r>
    </w:p>
    <w:p w14:paraId="1955A86E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— монография: </w:t>
      </w:r>
      <w:r>
        <w:rPr>
          <w:rFonts w:ascii="Georgia" w:hAnsi="Georgia" w:cs="Georgia"/>
          <w:i/>
          <w:iCs/>
        </w:rPr>
        <w:t>Иванов И. И.</w:t>
      </w:r>
      <w:r>
        <w:rPr>
          <w:rFonts w:ascii="Georgia" w:hAnsi="Georgia" w:cs="Georgia"/>
        </w:rPr>
        <w:t xml:space="preserve"> ХХ век в истории России. М.: Наука, 2010. 435 с.</w:t>
      </w:r>
    </w:p>
    <w:p w14:paraId="062B3711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— статья в журнале или в периодическом издании: </w:t>
      </w:r>
      <w:r>
        <w:rPr>
          <w:rFonts w:ascii="Georgia" w:hAnsi="Georgia" w:cs="Georgia"/>
          <w:i/>
          <w:iCs/>
        </w:rPr>
        <w:t>Иванов И. И.</w:t>
      </w:r>
      <w:r>
        <w:rPr>
          <w:rFonts w:ascii="Georgia" w:hAnsi="Georgia" w:cs="Georgia"/>
        </w:rPr>
        <w:t xml:space="preserve"> Актуальные проблемы дореволюционной отечественной истории // Российская история. 2010. № 2. С. 12–20.</w:t>
      </w:r>
    </w:p>
    <w:p w14:paraId="42EC3602" w14:textId="77777777" w:rsidR="00C678F5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— статья в сборнике: </w:t>
      </w:r>
      <w:r>
        <w:rPr>
          <w:rFonts w:ascii="Georgia" w:hAnsi="Georgia" w:cs="Georgia"/>
          <w:i/>
          <w:iCs/>
        </w:rPr>
        <w:t>Иванов И. И.</w:t>
      </w:r>
      <w:r>
        <w:rPr>
          <w:rFonts w:ascii="Georgia" w:hAnsi="Georgia" w:cs="Georgia"/>
        </w:rPr>
        <w:t xml:space="preserve"> Актуальные проблемы новейшей отечественной истории // История России: теория и практика: сб. науч. ст. М.: МГУ, 2010. С. 11–20.</w:t>
      </w:r>
    </w:p>
    <w:p w14:paraId="7AE0B25B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— публикация в сети Интернет: </w:t>
      </w:r>
      <w:r>
        <w:rPr>
          <w:rFonts w:ascii="Georgia" w:hAnsi="Georgia" w:cs="Georgia"/>
          <w:i/>
          <w:iCs/>
        </w:rPr>
        <w:t>Иванов И. И.</w:t>
      </w:r>
      <w:r>
        <w:rPr>
          <w:rFonts w:ascii="Georgia" w:hAnsi="Georgia" w:cs="Georgia"/>
        </w:rPr>
        <w:t xml:space="preserve"> Россия и Польша: история взаимоотношений // URL: http://ruspol.ru/vz.htm</w:t>
      </w:r>
    </w:p>
    <w:p w14:paraId="19273FC7" w14:textId="77777777" w:rsidR="00C678F5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В тексте допускается использование постраничных примечаний (гарнитура — Times New Roman, кегль 10, без абзацного отступа), которые оформляются в режиме автоматической ссылки. Нумерация на каждой странице начинается заново.</w:t>
      </w:r>
    </w:p>
    <w:p w14:paraId="11C66C5E" w14:textId="77777777" w:rsidR="00C678F5" w:rsidRDefault="00C678F5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 сборника научных трудов конференции будут размещены в наукометрической базе РИНЦ.</w:t>
      </w:r>
    </w:p>
    <w:p w14:paraId="04381909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Оргкомитет оставляет за собой право отклонять заявки в случае несоответствия тематике и научному формату конференции!</w:t>
      </w:r>
    </w:p>
    <w:p w14:paraId="77251B4C" w14:textId="77777777" w:rsidR="00C678F5" w:rsidRDefault="00C678F5">
      <w:pPr>
        <w:pageBreakBefore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lastRenderedPageBreak/>
        <w:t>Образец оформления статьи</w:t>
      </w:r>
    </w:p>
    <w:p w14:paraId="6595392E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pacing w:val="1"/>
        </w:rPr>
      </w:pPr>
    </w:p>
    <w:p w14:paraId="28BF7C3E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i/>
          <w:iCs/>
        </w:rPr>
        <w:t>И. И. Иванов</w:t>
      </w:r>
    </w:p>
    <w:p w14:paraId="550E2AE4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pacing w:val="1"/>
        </w:rPr>
      </w:pPr>
      <w:r>
        <w:rPr>
          <w:rFonts w:ascii="Times New Roman CYR" w:hAnsi="Times New Roman CYR" w:cs="Times New Roman CYR"/>
          <w:i/>
          <w:iCs/>
          <w:color w:val="000000"/>
          <w:spacing w:val="1"/>
        </w:rPr>
        <w:t>г. Ижевск (Россия)</w:t>
      </w:r>
    </w:p>
    <w:p w14:paraId="1B905AE6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pacing w:val="1"/>
        </w:rPr>
      </w:pPr>
      <w:r>
        <w:rPr>
          <w:rFonts w:ascii="Times New Roman CYR" w:hAnsi="Times New Roman CYR" w:cs="Times New Roman CYR"/>
          <w:i/>
          <w:iCs/>
          <w:color w:val="000000"/>
          <w:spacing w:val="1"/>
        </w:rPr>
        <w:t>Удмуртский гос. ун-т</w:t>
      </w:r>
    </w:p>
    <w:p w14:paraId="0BFBFCE1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color w:val="000000"/>
          <w:spacing w:val="1"/>
        </w:rPr>
      </w:pPr>
    </w:p>
    <w:p w14:paraId="5D20F69D" w14:textId="77777777" w:rsidR="00C678F5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НАЗВАНИЕ СТАТЬИ</w:t>
      </w:r>
    </w:p>
    <w:p w14:paraId="54A1CBB0" w14:textId="77777777" w:rsidR="00C678F5" w:rsidRDefault="00C678F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</w:rPr>
      </w:pPr>
    </w:p>
    <w:p w14:paraId="5E0FF2EE" w14:textId="77777777" w:rsidR="00C678F5" w:rsidRDefault="00C678F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Аннотация...</w:t>
      </w:r>
    </w:p>
    <w:p w14:paraId="24E7860E" w14:textId="77777777" w:rsidR="00C678F5" w:rsidRDefault="00C678F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</w:p>
    <w:p w14:paraId="610E88A6" w14:textId="77777777" w:rsidR="00C678F5" w:rsidRDefault="00C678F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Ключевые слова: </w:t>
      </w:r>
      <w:r>
        <w:rPr>
          <w:rFonts w:ascii="Georgia" w:hAnsi="Georgia" w:cs="Georgia"/>
          <w:sz w:val="20"/>
          <w:szCs w:val="20"/>
        </w:rPr>
        <w:t>...</w:t>
      </w:r>
    </w:p>
    <w:p w14:paraId="059D1FAD" w14:textId="77777777" w:rsidR="00C678F5" w:rsidRDefault="00C678F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</w:rPr>
      </w:pPr>
    </w:p>
    <w:p w14:paraId="77D4DB61" w14:textId="77777777" w:rsidR="00C678F5" w:rsidRDefault="00C678F5">
      <w:pPr>
        <w:widowControl w:val="0"/>
        <w:autoSpaceDE w:val="0"/>
        <w:autoSpaceDN w:val="0"/>
        <w:adjustRightInd w:val="0"/>
        <w:spacing w:after="0"/>
        <w:ind w:firstLine="567"/>
        <w:rPr>
          <w:rFonts w:ascii="Georgia" w:hAnsi="Georgia" w:cs="Georgia"/>
        </w:rPr>
      </w:pPr>
      <w:r>
        <w:rPr>
          <w:rFonts w:ascii="Georgia" w:hAnsi="Georgia" w:cs="Georgia"/>
        </w:rPr>
        <w:t>Текст статьи...</w:t>
      </w:r>
    </w:p>
    <w:p w14:paraId="3BF10689" w14:textId="77777777" w:rsidR="00C678F5" w:rsidRDefault="00C678F5">
      <w:pPr>
        <w:widowControl w:val="0"/>
        <w:tabs>
          <w:tab w:val="left" w:pos="2676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0"/>
          <w:szCs w:val="20"/>
        </w:rPr>
      </w:pPr>
    </w:p>
    <w:p w14:paraId="289477A2" w14:textId="77777777" w:rsidR="00C678F5" w:rsidRDefault="00C678F5">
      <w:pPr>
        <w:widowControl w:val="0"/>
        <w:tabs>
          <w:tab w:val="left" w:pos="2676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СПИСОК ИСТОЧНИКОВ И ЛИТЕРАТУРЫ</w:t>
      </w:r>
    </w:p>
    <w:p w14:paraId="62BE4EBA" w14:textId="77777777" w:rsidR="00C678F5" w:rsidRDefault="00C678F5">
      <w:pPr>
        <w:widowControl w:val="0"/>
        <w:tabs>
          <w:tab w:val="left" w:pos="2676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0"/>
          <w:szCs w:val="20"/>
        </w:rPr>
      </w:pPr>
    </w:p>
    <w:p w14:paraId="39DF1D59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1.</w:t>
      </w:r>
      <w:r>
        <w:rPr>
          <w:rFonts w:ascii="Georgia" w:hAnsi="Georgia" w:cs="Georgia"/>
          <w:i/>
          <w:iCs/>
          <w:sz w:val="20"/>
          <w:szCs w:val="20"/>
        </w:rPr>
        <w:tab/>
        <w:t>Андреев А. Ю</w:t>
      </w:r>
      <w:r>
        <w:rPr>
          <w:rFonts w:ascii="Georgia" w:hAnsi="Georgia" w:cs="Georgia"/>
          <w:sz w:val="20"/>
          <w:szCs w:val="20"/>
        </w:rPr>
        <w:t>. Император Александр I, профессор Г. Ф. Паррот и возникновение «университетской автономии» в России // Отечественная история. 2006. № 6. С. 19–30.</w:t>
      </w:r>
    </w:p>
    <w:p w14:paraId="3F75A8C3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2.</w:t>
      </w:r>
      <w:r>
        <w:rPr>
          <w:rFonts w:ascii="Georgia" w:hAnsi="Georgia" w:cs="Georgia"/>
          <w:i/>
          <w:iCs/>
          <w:sz w:val="20"/>
          <w:szCs w:val="20"/>
        </w:rPr>
        <w:tab/>
        <w:t>Андреев А. Ю.</w:t>
      </w:r>
      <w:r>
        <w:rPr>
          <w:rFonts w:ascii="Georgia" w:hAnsi="Georgia" w:cs="Georgia"/>
          <w:sz w:val="20"/>
          <w:szCs w:val="20"/>
        </w:rPr>
        <w:t xml:space="preserve"> Российские университеты XVIII — первой половины XIX века в контексте университетской истории Европы. М.: Знак, 2009. 640 с.</w:t>
      </w:r>
    </w:p>
    <w:p w14:paraId="1FD81AFB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3.</w:t>
      </w:r>
      <w:r>
        <w:rPr>
          <w:rFonts w:ascii="Georgia" w:hAnsi="Georgia" w:cs="Georgia"/>
          <w:i/>
          <w:iCs/>
          <w:sz w:val="20"/>
          <w:szCs w:val="20"/>
        </w:rPr>
        <w:tab/>
        <w:t>Грачёва Ю. Е.</w:t>
      </w:r>
      <w:r>
        <w:rPr>
          <w:rFonts w:ascii="Georgia" w:hAnsi="Georgia" w:cs="Georgia"/>
          <w:sz w:val="20"/>
          <w:szCs w:val="20"/>
        </w:rPr>
        <w:t xml:space="preserve"> «Позвольте мне быть полезным!»: Василий Назарович Каразин на государственной службе и в общественной жизни России первой трети XIX в. М.: Изд-во ПСТГУ, 2012. 183 с.</w:t>
      </w:r>
    </w:p>
    <w:p w14:paraId="408FD65E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4.</w:t>
      </w:r>
      <w:r>
        <w:rPr>
          <w:rFonts w:ascii="Georgia" w:hAnsi="Georgia" w:cs="Georgia"/>
          <w:sz w:val="20"/>
          <w:szCs w:val="20"/>
        </w:rPr>
        <w:tab/>
        <w:t>Директива командующего Ленинградским военным округом военным советам и начальникам по-литуправлений 7, 8, 9, 14-й армий о нормах поведения личного состава на территории Финляндии, 29 ноября 1939 г. // Российский государственный военный архив (РГВА).</w:t>
      </w:r>
    </w:p>
    <w:p w14:paraId="691F9D0D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5.</w:t>
      </w:r>
      <w:r>
        <w:rPr>
          <w:rFonts w:ascii="Georgia" w:hAnsi="Georgia" w:cs="Georgia"/>
          <w:i/>
          <w:iCs/>
          <w:sz w:val="20"/>
          <w:szCs w:val="20"/>
        </w:rPr>
        <w:tab/>
        <w:t>Жуковская Т. Н.</w:t>
      </w:r>
      <w:r>
        <w:rPr>
          <w:rFonts w:ascii="Georgia" w:hAnsi="Georgia" w:cs="Georgia"/>
          <w:sz w:val="20"/>
          <w:szCs w:val="20"/>
        </w:rPr>
        <w:t xml:space="preserve"> Просветительские проекты «молодых друзей» и создание Министерства народного просвещения (1802) // Власть, общество, армия: сб. науч. статей. СПб.: Изд-во СПбГУ, 2013. С. 181–191.</w:t>
      </w:r>
    </w:p>
    <w:p w14:paraId="7CD8F1CE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</w:t>
      </w:r>
    </w:p>
    <w:p w14:paraId="29C1763B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14:paraId="7DE17BCA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14:paraId="4E56E3BA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PS: </w:t>
      </w:r>
      <w:r>
        <w:rPr>
          <w:rFonts w:ascii="Georgia" w:hAnsi="Georgia" w:cs="Georgia"/>
        </w:rPr>
        <w:t>Просьба присылать вычитанные тексты, готовые к публикации. В тексте используется длинное тире (—), между годами и веками — среднее (1234–1235 гг.; XV–XVI вв.). Просим не путать тире (пунктуационный знак) и дефис (орфографический знак) (-).</w:t>
      </w:r>
    </w:p>
    <w:p w14:paraId="766B2D69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8BA02FE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31188D6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2BB6D48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B5C4071" w14:textId="77777777" w:rsidR="00C678F5" w:rsidRDefault="00C678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D210E5B" w14:textId="77777777" w:rsidR="00C678F5" w:rsidRDefault="00C678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830BB0E" w14:textId="77777777" w:rsidR="00C678F5" w:rsidRDefault="00C678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0850DFD" w14:textId="77777777" w:rsidR="00C678F5" w:rsidRDefault="00C678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B7646CE" w14:textId="77777777" w:rsidR="00C678F5" w:rsidRDefault="00C678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3870089" w14:textId="77777777" w:rsidR="00C678F5" w:rsidRDefault="00C678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D2C79D8" w14:textId="77777777" w:rsidR="00C678F5" w:rsidRDefault="00C678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E4B558C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14:paraId="1B1D9BED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Заявка участника*</w:t>
      </w:r>
    </w:p>
    <w:p w14:paraId="59F39230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I-я Всероссийская научная конференция «АКТУАЛЬНЫЕ ПРОБЛЕМЫ РЕГИОНАЛЬНОЙ ИСТОРИИ: ВЗИМООТНОШЕНИЯ ЦЕНТРА И РЕГИОНОВ В ИСТОРИЧЕСКОЙ ДИНАМИКЕ», Ижевск, 7–8 ноября 2019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6090"/>
      </w:tblGrid>
      <w:tr w:rsidR="00C678F5" w14:paraId="728CB7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307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2DA58" w14:textId="77777777" w:rsidR="00C678F5" w:rsidRDefault="00C6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76F43E7" w14:textId="77777777" w:rsidR="00C678F5" w:rsidRDefault="00C6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78F5" w14:paraId="01043E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198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работы (место обучения)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полностью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1F49D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872276B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E5EFB6E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CE07058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942C174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78F5" w14:paraId="44BFE2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7440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Факультет/институт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98953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60624D5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78F5" w14:paraId="1D00D0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BB3E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Кафедра/отдел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E881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B26726E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78F5" w14:paraId="72B723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06F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8518E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B2DAF9F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78F5" w14:paraId="6F2F83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704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BF58E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948213A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78F5" w14:paraId="29641B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F35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Должность (курс – для аспирантов и студентов студентов)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D0C8F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C27AEA7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78F5" w14:paraId="198EDF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2A0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Адрес места работы (учёбы)</w:t>
            </w:r>
          </w:p>
          <w:p w14:paraId="20A0ABF3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(с индексом)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1491E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78F5" w14:paraId="4C7D5A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98F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Контактный тел. (мобильный)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D2FB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A68AB37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78F5" w14:paraId="39ED0F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A68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885B6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06E7E38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78F5" w14:paraId="430459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CF5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Форма участия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9D20C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 / заочная</w:t>
            </w:r>
          </w:p>
          <w:p w14:paraId="426BF78B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нужное оставить</w:t>
            </w:r>
          </w:p>
        </w:tc>
      </w:tr>
      <w:tr w:rsidR="00C678F5" w14:paraId="0C7E65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534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07878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98A5F7F" w14:textId="77777777" w:rsidR="00C678F5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67F77C5C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1C6AD10E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Оформление заявки на участие в конференции означает согласие на обработку персональных данных, указанных в заявке.</w:t>
      </w:r>
    </w:p>
    <w:p w14:paraId="48E2D4AF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1062C2B" w14:textId="77777777" w:rsidR="00C678F5" w:rsidRDefault="00C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678F5" w:rsidSect="00C678F5">
      <w:pgSz w:w="12240" w:h="15840"/>
      <w:pgMar w:top="851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5"/>
    <w:rsid w:val="009A14C4"/>
    <w:rsid w:val="00C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CC4D1"/>
  <w14:defaultImageDpi w14:val="0"/>
  <w15:docId w15:val="{47438D4F-81B4-4F33-9B5C-D3824425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nikov@udm.ru" TargetMode="External"/><Relationship Id="rId4" Type="http://schemas.openxmlformats.org/officeDocument/2006/relationships/hyperlink" Target="mailto:puzanov@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Обухов</dc:creator>
  <cp:keywords/>
  <dc:description/>
  <cp:lastModifiedBy>Константин Обухов</cp:lastModifiedBy>
  <cp:revision>2</cp:revision>
  <dcterms:created xsi:type="dcterms:W3CDTF">2019-11-02T07:55:00Z</dcterms:created>
  <dcterms:modified xsi:type="dcterms:W3CDTF">2019-11-02T07:55:00Z</dcterms:modified>
</cp:coreProperties>
</file>